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27B7" w14:textId="5219AC97" w:rsidR="008A7566" w:rsidRDefault="00967400" w:rsidP="008A7566">
      <w:pPr>
        <w:spacing w:after="0" w:line="240" w:lineRule="auto"/>
        <w:rPr>
          <w:rFonts w:ascii="Times New Roman" w:hAnsi="Times New Roman" w:cs="Times New Roman"/>
          <w:b/>
          <w:bCs/>
          <w:sz w:val="24"/>
          <w:szCs w:val="24"/>
        </w:rPr>
      </w:pPr>
      <w:r w:rsidRPr="002728AC">
        <w:rPr>
          <w:rFonts w:ascii="Times New Roman" w:hAnsi="Times New Roman" w:cs="Times New Roman"/>
          <w:b/>
          <w:bCs/>
          <w:sz w:val="24"/>
          <w:szCs w:val="24"/>
        </w:rPr>
        <w:t>2020 Summer Faculty Council Member Roster</w:t>
      </w:r>
    </w:p>
    <w:p w14:paraId="3DFF02FC" w14:textId="77777777" w:rsidR="002728AC" w:rsidRPr="002728AC" w:rsidRDefault="002728AC" w:rsidP="008A7566">
      <w:pPr>
        <w:spacing w:after="0" w:line="240" w:lineRule="auto"/>
        <w:rPr>
          <w:rFonts w:ascii="Times New Roman" w:hAnsi="Times New Roman" w:cs="Times New Roman"/>
          <w:b/>
          <w:bCs/>
          <w:sz w:val="24"/>
          <w:szCs w:val="24"/>
        </w:rPr>
      </w:pPr>
      <w:bookmarkStart w:id="0" w:name="_GoBack"/>
      <w:bookmarkEnd w:id="0"/>
    </w:p>
    <w:p w14:paraId="50DF5876" w14:textId="23A0C44B" w:rsidR="00967400" w:rsidRPr="002728AC" w:rsidRDefault="00967400" w:rsidP="008A7566">
      <w:pPr>
        <w:spacing w:after="0" w:line="240" w:lineRule="auto"/>
        <w:rPr>
          <w:rFonts w:ascii="Times New Roman" w:hAnsi="Times New Roman" w:cs="Times New Roman"/>
          <w:sz w:val="24"/>
          <w:szCs w:val="24"/>
        </w:rPr>
      </w:pPr>
      <w:r w:rsidRPr="002728AC">
        <w:rPr>
          <w:rFonts w:ascii="Times New Roman" w:hAnsi="Times New Roman" w:cs="Times New Roman"/>
        </w:rPr>
        <w:t xml:space="preserve">Mary Gipson (Chair) </w:t>
      </w:r>
    </w:p>
    <w:p w14:paraId="23518B59"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Nisse Goldberg (Vice Chair) </w:t>
      </w:r>
    </w:p>
    <w:p w14:paraId="0A5B9F11"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Sarah Murphy (Secretary) </w:t>
      </w:r>
    </w:p>
    <w:p w14:paraId="77F1F875"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Janet Haavisto (Past Chair) </w:t>
      </w:r>
    </w:p>
    <w:p w14:paraId="18D5A3EE"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Kim Beasley (Faculty Affairs) </w:t>
      </w:r>
    </w:p>
    <w:p w14:paraId="56FEAC03" w14:textId="1362C561"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Cari Coble (Tenure &amp; Promotion) </w:t>
      </w:r>
    </w:p>
    <w:p w14:paraId="4F3AD714" w14:textId="092F76BB" w:rsidR="0031694E" w:rsidRPr="002728AC" w:rsidRDefault="0031694E" w:rsidP="008A7566">
      <w:pPr>
        <w:spacing w:after="0" w:line="240" w:lineRule="auto"/>
        <w:rPr>
          <w:rFonts w:ascii="Times New Roman" w:hAnsi="Times New Roman" w:cs="Times New Roman"/>
        </w:rPr>
      </w:pPr>
      <w:r w:rsidRPr="002728AC">
        <w:rPr>
          <w:rFonts w:ascii="Times New Roman" w:hAnsi="Times New Roman" w:cs="Times New Roman"/>
        </w:rPr>
        <w:t xml:space="preserve">Steven Davis (Athletics) </w:t>
      </w:r>
    </w:p>
    <w:p w14:paraId="0319E508"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Erik DeCicco (Student Life) </w:t>
      </w:r>
    </w:p>
    <w:p w14:paraId="137413A3"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Bill Hill (Planning &amp; Budget) </w:t>
      </w:r>
    </w:p>
    <w:p w14:paraId="239BAB4B"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Jack Huang (Academic Standards) </w:t>
      </w:r>
    </w:p>
    <w:p w14:paraId="26070EAD"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Scott Kimbrough (Core Curriculum) </w:t>
      </w:r>
    </w:p>
    <w:p w14:paraId="77CABFB0"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Tiffany Leach (Instructional Resources)</w:t>
      </w:r>
    </w:p>
    <w:p w14:paraId="3828AFA9"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Doug Lewis (Freedom &amp; Grievance) </w:t>
      </w:r>
    </w:p>
    <w:p w14:paraId="0BE7AF74" w14:textId="77777777" w:rsidR="00967400" w:rsidRPr="002728AC" w:rsidRDefault="00967400" w:rsidP="008A7566">
      <w:pPr>
        <w:spacing w:after="0" w:line="240" w:lineRule="auto"/>
        <w:rPr>
          <w:rFonts w:ascii="Times New Roman" w:hAnsi="Times New Roman" w:cs="Times New Roman"/>
        </w:rPr>
      </w:pPr>
      <w:r w:rsidRPr="002728AC">
        <w:rPr>
          <w:rFonts w:ascii="Times New Roman" w:hAnsi="Times New Roman" w:cs="Times New Roman"/>
        </w:rPr>
        <w:t xml:space="preserve">Dan Moseley (Curriculum) </w:t>
      </w:r>
    </w:p>
    <w:p w14:paraId="0AA0AB7C" w14:textId="3B73B18F" w:rsidR="00967400" w:rsidRPr="002728AC" w:rsidRDefault="00967400"/>
    <w:p w14:paraId="70D4A3A6" w14:textId="77777777" w:rsidR="002728AC" w:rsidRPr="002728AC" w:rsidRDefault="002728AC" w:rsidP="002728AC">
      <w:pPr>
        <w:pStyle w:val="NormalWeb"/>
        <w:rPr>
          <w:b/>
          <w:bCs/>
        </w:rPr>
      </w:pPr>
      <w:r w:rsidRPr="002728AC">
        <w:rPr>
          <w:b/>
          <w:bCs/>
        </w:rPr>
        <w:t xml:space="preserve">2020 Summer Faculty Council </w:t>
      </w:r>
    </w:p>
    <w:p w14:paraId="2896F8F0" w14:textId="77777777" w:rsidR="002728AC" w:rsidRPr="002728AC" w:rsidRDefault="002728AC" w:rsidP="002728AC">
      <w:pPr>
        <w:pStyle w:val="NormalWeb"/>
      </w:pPr>
      <w:r w:rsidRPr="002728AC">
        <w:t xml:space="preserve">The committee shall be composed of the four members of the faculty executive committee and one member each from the two faculty elected committees and the eight standing committees. </w:t>
      </w:r>
    </w:p>
    <w:p w14:paraId="42D8DCBD" w14:textId="77777777" w:rsidR="002728AC" w:rsidRPr="002728AC" w:rsidRDefault="002728AC" w:rsidP="002728AC">
      <w:pPr>
        <w:pStyle w:val="NormalWeb"/>
      </w:pPr>
      <w:r w:rsidRPr="002728AC">
        <w:t xml:space="preserve">The committee, on behalf of the Faculty Assembly, shall work closely with the Academic Affairs Office during the next four-six weeks of the 2020 COVID-19 pandemic to develop, review and make recommendations on proposals that have the potential to impact areas outlined in Article II, Section 1 of the Faculty Bylaws (included below). The committee’s discussions will be held confidential. </w:t>
      </w:r>
    </w:p>
    <w:p w14:paraId="1499186D" w14:textId="77777777" w:rsidR="002728AC" w:rsidRPr="002728AC" w:rsidRDefault="002728AC" w:rsidP="002728AC">
      <w:pPr>
        <w:pStyle w:val="NormalWeb"/>
      </w:pPr>
      <w:r w:rsidRPr="002728AC">
        <w:t xml:space="preserve">Faculty Bylaws </w:t>
      </w:r>
    </w:p>
    <w:p w14:paraId="504AD84D" w14:textId="77777777" w:rsidR="002728AC" w:rsidRPr="002728AC" w:rsidRDefault="002728AC" w:rsidP="002728AC">
      <w:pPr>
        <w:pStyle w:val="NormalWeb"/>
      </w:pPr>
      <w:r w:rsidRPr="002728AC">
        <w:t xml:space="preserve">Article II </w:t>
      </w:r>
    </w:p>
    <w:p w14:paraId="6258DF7B" w14:textId="77777777" w:rsidR="002728AC" w:rsidRPr="002728AC" w:rsidRDefault="002728AC" w:rsidP="002728AC">
      <w:pPr>
        <w:pStyle w:val="NormalWeb"/>
      </w:pPr>
      <w:r w:rsidRPr="002728AC">
        <w:t xml:space="preserve">Section 1. Responsibilities of the Faculty Assembly </w:t>
      </w:r>
    </w:p>
    <w:p w14:paraId="068265E7" w14:textId="77777777" w:rsidR="002728AC" w:rsidRPr="002728AC" w:rsidRDefault="002728AC" w:rsidP="002728AC">
      <w:pPr>
        <w:pStyle w:val="NormalWeb"/>
      </w:pPr>
      <w:r w:rsidRPr="002728AC">
        <w:t xml:space="preserve">a. The Faculty Assembly has special responsibility for oversight and shall be consulted on all proposals regarding the formation of faculty governance committees; creation and delivery of curriculum; policies on student media; and academic standards including but not limited to graduation requirements, criteria for probation and suspension of students, the academic calendar, standards for academic progress, certification for degrees, academic honesty, honors program, independent studies, academic honors, study abroad, and internships. </w:t>
      </w:r>
    </w:p>
    <w:p w14:paraId="538BF7D4" w14:textId="77777777" w:rsidR="002728AC" w:rsidRPr="002728AC" w:rsidRDefault="002728AC" w:rsidP="002728AC">
      <w:pPr>
        <w:pStyle w:val="NormalWeb"/>
      </w:pPr>
      <w:r w:rsidRPr="002728AC">
        <w:t xml:space="preserve">b. The Faculty Assembly has shared responsibility through recommendations to and consultation with the chief academic officer (CAO), the President and the Board of Trustees on the establishment of new academic programs; the structure of the academic organization; the procedures for evaluating faculty effectiveness; admission standards; the University’s mission; strategic planning; financial matters including but not limited to faculty development policies, </w:t>
      </w:r>
      <w:r w:rsidRPr="002728AC">
        <w:lastRenderedPageBreak/>
        <w:t xml:space="preserve">academic budgeting, and fringe benefits; the abolition of programs, majors, and/or departments; academic ceremonies and public occasions; as well as policies regarding scholarships and academic support services. </w:t>
      </w:r>
    </w:p>
    <w:p w14:paraId="3BAF6099" w14:textId="77777777" w:rsidR="002728AC" w:rsidRPr="002728AC" w:rsidRDefault="002728AC" w:rsidP="002728AC">
      <w:pPr>
        <w:pStyle w:val="NormalWeb"/>
      </w:pPr>
      <w:r w:rsidRPr="002728AC">
        <w:t>c. The Faculty Assembly shall be consulted in many areas. To formally consult with the faculty, the administration shall inform the faculty chair, and the faculty can provide responses through the faculty chair or appropriate channels. Areas of consultation include changes in athletic policy; in library policy; administration organizational changes; policies on student loans and financial aid; the formation of new University committees; and any matter involving governance and good repute of the University and the welfare and morale of faculty and students.</w:t>
      </w:r>
    </w:p>
    <w:p w14:paraId="606F9829" w14:textId="77777777" w:rsidR="002728AC" w:rsidRPr="002728AC" w:rsidRDefault="002728AC"/>
    <w:sectPr w:rsidR="002728AC" w:rsidRPr="0027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0"/>
    <w:rsid w:val="002728AC"/>
    <w:rsid w:val="0031694E"/>
    <w:rsid w:val="006C5A33"/>
    <w:rsid w:val="008A7566"/>
    <w:rsid w:val="00967400"/>
    <w:rsid w:val="00C4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6D06"/>
  <w15:chartTrackingRefBased/>
  <w15:docId w15:val="{F9B7D8F7-5D54-4DD1-BD80-40314534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1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Gipson</dc:creator>
  <cp:keywords/>
  <dc:description/>
  <cp:lastModifiedBy>Jenna Blyler</cp:lastModifiedBy>
  <cp:revision>2</cp:revision>
  <dcterms:created xsi:type="dcterms:W3CDTF">2020-04-23T15:14:00Z</dcterms:created>
  <dcterms:modified xsi:type="dcterms:W3CDTF">2020-04-23T15:14:00Z</dcterms:modified>
</cp:coreProperties>
</file>